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5E" w:rsidRDefault="00483365" w:rsidP="00002D5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483365">
        <w:rPr>
          <w:rFonts w:ascii="Times New Roman" w:hAnsi="Times New Roman"/>
          <w:b/>
          <w:sz w:val="26"/>
        </w:rPr>
        <w:t>О</w:t>
      </w:r>
      <w:r w:rsidR="009E715E">
        <w:rPr>
          <w:rFonts w:ascii="Times New Roman" w:hAnsi="Times New Roman"/>
          <w:b/>
          <w:sz w:val="26"/>
        </w:rPr>
        <w:t>ТДЕЛ СВОДНЫХ СТАТИСТИЧЕСКИХ РАБОТ И ОБЩЕСТВЕННЫХ СВЯЗЕЙ</w:t>
      </w:r>
    </w:p>
    <w:p w:rsidR="00002D53" w:rsidRDefault="009E715E" w:rsidP="00002D5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(включая специалистов в</w:t>
      </w:r>
      <w:r w:rsidR="00002D53">
        <w:rPr>
          <w:rFonts w:ascii="Times New Roman" w:hAnsi="Times New Roman"/>
          <w:b/>
          <w:sz w:val="26"/>
        </w:rPr>
        <w:t xml:space="preserve"> г. </w:t>
      </w:r>
      <w:r>
        <w:rPr>
          <w:rFonts w:ascii="Times New Roman" w:hAnsi="Times New Roman"/>
          <w:b/>
          <w:sz w:val="26"/>
        </w:rPr>
        <w:t>Курган</w:t>
      </w:r>
      <w:r w:rsidR="00002D53"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236225" w:rsidRDefault="0023622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0E49F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9B0019" w:rsidRDefault="008204A5" w:rsidP="008204A5">
            <w:pPr>
              <w:ind w:firstLine="34"/>
              <w:rPr>
                <w:rFonts w:ascii="Times New Roman" w:hAnsi="Times New Roman"/>
                <w:b/>
                <w:szCs w:val="22"/>
              </w:rPr>
            </w:pPr>
            <w:r w:rsidRPr="008204A5">
              <w:rPr>
                <w:rFonts w:ascii="Times New Roman" w:hAnsi="Times New Roman"/>
                <w:szCs w:val="22"/>
              </w:rPr>
              <w:t xml:space="preserve">Среднее профессиональное или </w:t>
            </w:r>
            <w:r w:rsidRPr="008204A5">
              <w:rPr>
                <w:rFonts w:ascii="Times New Roman" w:hAnsi="Times New Roman"/>
                <w:szCs w:val="22"/>
              </w:rPr>
              <w:t xml:space="preserve">высшее образование по одному из направлений подготовки (специальностям) профессионального образования «Статистика», «Государственное и муниципальное управление», </w:t>
            </w:r>
            <w:r w:rsidRPr="008204A5">
              <w:rPr>
                <w:rFonts w:ascii="Times New Roman" w:hAnsi="Times New Roman"/>
                <w:bCs/>
                <w:szCs w:val="22"/>
              </w:rPr>
              <w:t xml:space="preserve">«Прикладная математика», </w:t>
            </w:r>
            <w:r w:rsidRPr="008204A5">
              <w:rPr>
                <w:rFonts w:ascii="Times New Roman" w:hAnsi="Times New Roman"/>
                <w:szCs w:val="22"/>
              </w:rPr>
              <w:t xml:space="preserve">«Экономика», или иному направлению подготовки (специальности), для которого </w:t>
            </w:r>
            <w:r w:rsidRPr="008204A5">
              <w:rPr>
                <w:rFonts w:ascii="Times New Roman" w:hAnsi="Times New Roman"/>
                <w:bCs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8204A5">
              <w:rPr>
                <w:rFonts w:ascii="Times New Roman" w:hAnsi="Times New Roman"/>
                <w:szCs w:val="22"/>
              </w:rPr>
              <w:t xml:space="preserve">. 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704720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D3436">
              <w:rPr>
                <w:rFonts w:ascii="Times New Roman" w:hAnsi="Times New Roman"/>
                <w:szCs w:val="22"/>
              </w:rPr>
              <w:t>В соответствии с положением об Отделе, поручениями руководителя Свердловскстата, заместителя руководителя Свердловскстата, координирующего и контролирующего деятельность Отдела, начальника Отдела: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BD3436">
              <w:rPr>
                <w:rFonts w:ascii="Times New Roman" w:hAnsi="Times New Roman"/>
                <w:szCs w:val="22"/>
              </w:rPr>
              <w:t>участвует в подготовке в установленном порядке проектов актов и других документов Свердловскстата, относящихся к сфере деятельности Отдела;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BD3436">
              <w:rPr>
                <w:rFonts w:ascii="Times New Roman" w:hAnsi="Times New Roman"/>
                <w:szCs w:val="22"/>
              </w:rPr>
              <w:t>участвует в рассмотрении поступивших в Отдел обращений, проектов актов и других документов, а также в подготовке заключений на них;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BD3436">
              <w:rPr>
                <w:rFonts w:ascii="Times New Roman" w:hAnsi="Times New Roman"/>
                <w:szCs w:val="22"/>
              </w:rPr>
              <w:t>взаимодействует со специалистами подразделений министерств и ведомств, структурных подразделений центрального аппарата Росстата, территориальных органов Росстата по вопросам, входящим в компетенцию Отдела;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BD3436">
              <w:rPr>
                <w:rFonts w:ascii="Times New Roman" w:hAnsi="Times New Roman"/>
                <w:szCs w:val="22"/>
              </w:rPr>
              <w:t>принимает участие в работе комиссий в соответствии с приказами Свердловскстата.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</w:t>
            </w:r>
            <w:r w:rsidRPr="00BD3436">
              <w:rPr>
                <w:rFonts w:ascii="Times New Roman" w:hAnsi="Times New Roman"/>
                <w:szCs w:val="22"/>
              </w:rPr>
              <w:t xml:space="preserve">существляет следующие функции: 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</w:rPr>
            </w:pPr>
            <w:r w:rsidRPr="00BD3436">
              <w:rPr>
                <w:rFonts w:ascii="Times New Roman" w:hAnsi="Times New Roman"/>
                <w:bCs/>
                <w:szCs w:val="22"/>
              </w:rPr>
              <w:t>1) выполнение статистических и организационных работ Отдела, предусмотренных Федеральным планом статистических работ и годовым Производственным планом;</w:t>
            </w:r>
          </w:p>
          <w:p w:rsidR="00BD3436" w:rsidRPr="00BD3436" w:rsidRDefault="00BD3436" w:rsidP="00BD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</w:rPr>
            </w:pPr>
            <w:r w:rsidRPr="00BD3436">
              <w:rPr>
                <w:rFonts w:ascii="Times New Roman" w:hAnsi="Times New Roman"/>
                <w:bCs/>
                <w:szCs w:val="22"/>
              </w:rPr>
              <w:t xml:space="preserve">2) подготовка, выпуск и предоставление различным категориям пользователей статистической информации, организация размещения и размещение публикаций на официальном Интернет-портале Свердловскстата; </w:t>
            </w:r>
          </w:p>
          <w:p w:rsidR="00BD3436" w:rsidRPr="00BD3436" w:rsidRDefault="00BD3436" w:rsidP="00BD3436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D3436">
              <w:rPr>
                <w:rFonts w:ascii="Times New Roman" w:hAnsi="Times New Roman"/>
                <w:szCs w:val="22"/>
              </w:rPr>
              <w:t xml:space="preserve">3) организация рассмотрения структурными подразделениями Свердловскстата комплексных запросов о предоставлении </w:t>
            </w:r>
            <w:proofErr w:type="gramStart"/>
            <w:r w:rsidRPr="00BD3436">
              <w:rPr>
                <w:rFonts w:ascii="Times New Roman" w:hAnsi="Times New Roman"/>
                <w:szCs w:val="22"/>
              </w:rPr>
              <w:t>официальной статистической информации</w:t>
            </w:r>
            <w:proofErr w:type="gramEnd"/>
            <w:r w:rsidRPr="00BD3436">
              <w:rPr>
                <w:rFonts w:ascii="Times New Roman" w:hAnsi="Times New Roman"/>
                <w:szCs w:val="22"/>
              </w:rPr>
              <w:t xml:space="preserve"> и подготовка проектов ответов на запросы различных категорий пользователей, в том числе граждан и организаций;</w:t>
            </w:r>
          </w:p>
          <w:p w:rsidR="001D67D0" w:rsidRPr="00063FD3" w:rsidRDefault="00BD3436" w:rsidP="00BD3436">
            <w:pPr>
              <w:shd w:val="clear" w:color="auto" w:fill="FFFFFF"/>
              <w:rPr>
                <w:rFonts w:ascii="Times New Roman" w:hAnsi="Times New Roman"/>
                <w:b/>
                <w:szCs w:val="22"/>
                <w:lang w:val="x-none"/>
              </w:rPr>
            </w:pPr>
            <w:r w:rsidRPr="00BD3436">
              <w:rPr>
                <w:rFonts w:ascii="Times New Roman" w:hAnsi="Times New Roman"/>
                <w:szCs w:val="22"/>
              </w:rPr>
              <w:t>4) оказание структурным подразделениям Свердловскстата консультативной и организационной помощи при проведении федерального статистического наблюдения по вопросам, входящим в компетенцию Отдела.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285936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CC5313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285936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B80231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704720" w:rsidRPr="00704720" w:rsidRDefault="00704720" w:rsidP="007047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(русского языка);</w:t>
            </w:r>
          </w:p>
          <w:p w:rsidR="00704720" w:rsidRPr="00704720" w:rsidRDefault="00704720" w:rsidP="00704720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:rsidR="00704720" w:rsidRPr="00704720" w:rsidRDefault="00704720" w:rsidP="00704720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>а) Конституции Российской Федерации;</w:t>
            </w:r>
          </w:p>
          <w:p w:rsidR="00704720" w:rsidRPr="00704720" w:rsidRDefault="00704720" w:rsidP="00704720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 xml:space="preserve">б) Федерального закона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4720">
                <w:rPr>
                  <w:rFonts w:ascii="Times New Roman" w:hAnsi="Times New Roman"/>
                  <w:szCs w:val="22"/>
                </w:rPr>
                <w:t>2003 г</w:t>
              </w:r>
            </w:smartTag>
            <w:r w:rsidRPr="00704720">
              <w:rPr>
                <w:rFonts w:ascii="Times New Roman" w:hAnsi="Times New Roman"/>
                <w:szCs w:val="22"/>
              </w:rPr>
              <w:t>. № 58-ФЗ «О системе государственной службы Российской Федерации»;</w:t>
            </w:r>
          </w:p>
          <w:p w:rsidR="00704720" w:rsidRPr="00704720" w:rsidRDefault="00704720" w:rsidP="00704720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 xml:space="preserve">в) Федерального закона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704720">
                <w:rPr>
                  <w:rFonts w:ascii="Times New Roman" w:hAnsi="Times New Roman"/>
                  <w:szCs w:val="22"/>
                </w:rPr>
                <w:t>2004 г</w:t>
              </w:r>
            </w:smartTag>
            <w:r w:rsidRPr="00704720">
              <w:rPr>
                <w:rFonts w:ascii="Times New Roman" w:hAnsi="Times New Roman"/>
                <w:szCs w:val="22"/>
              </w:rPr>
              <w:t>. № 79-ФЗ «О государственной гражданской службе Российской Федерации»;</w:t>
            </w:r>
          </w:p>
          <w:p w:rsidR="00704720" w:rsidRPr="00704720" w:rsidRDefault="00704720" w:rsidP="00704720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 xml:space="preserve">г)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4720">
                <w:rPr>
                  <w:rFonts w:ascii="Times New Roman" w:hAnsi="Times New Roman"/>
                  <w:szCs w:val="22"/>
                </w:rPr>
                <w:t>2008 г</w:t>
              </w:r>
            </w:smartTag>
            <w:r w:rsidRPr="00704720">
              <w:rPr>
                <w:rFonts w:ascii="Times New Roman" w:hAnsi="Times New Roman"/>
                <w:szCs w:val="22"/>
              </w:rPr>
              <w:t>. № 273-ФЗ «О противодействии коррупции»;</w:t>
            </w:r>
          </w:p>
          <w:p w:rsidR="001D67D0" w:rsidRPr="00D3677C" w:rsidRDefault="00704720" w:rsidP="00704720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  <w:r w:rsidRPr="00704720">
              <w:rPr>
                <w:rFonts w:ascii="Times New Roman" w:hAnsi="Times New Roman"/>
                <w:szCs w:val="22"/>
              </w:rPr>
              <w:t>д</w:t>
            </w:r>
            <w:r>
              <w:rPr>
                <w:rFonts w:ascii="Times New Roman" w:hAnsi="Times New Roman"/>
                <w:szCs w:val="22"/>
              </w:rPr>
              <w:t>) знания</w:t>
            </w:r>
            <w:r w:rsidRPr="00704720">
              <w:rPr>
                <w:rFonts w:ascii="Times New Roman" w:hAnsi="Times New Roman"/>
                <w:szCs w:val="22"/>
              </w:rPr>
              <w:t xml:space="preserve">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Pr="00312079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 w:rsidRPr="00312079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B324F9" w:rsidRPr="00312079" w:rsidRDefault="00B324F9" w:rsidP="00B324F9">
            <w:pPr>
              <w:pStyle w:val="aa"/>
              <w:numPr>
                <w:ilvl w:val="0"/>
                <w:numId w:val="7"/>
              </w:numPr>
              <w:tabs>
                <w:tab w:val="left" w:pos="29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>понятие - форма федерального статистического наблюдения;</w:t>
            </w:r>
          </w:p>
          <w:p w:rsidR="00B324F9" w:rsidRPr="00312079" w:rsidRDefault="00B324F9" w:rsidP="00B324F9">
            <w:pPr>
              <w:pStyle w:val="aa"/>
              <w:numPr>
                <w:ilvl w:val="0"/>
                <w:numId w:val="7"/>
              </w:numPr>
              <w:tabs>
                <w:tab w:val="left" w:pos="29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 xml:space="preserve"> порядок (принципы) формирования итогов федеральных статистических наблюдений;</w:t>
            </w:r>
          </w:p>
          <w:p w:rsidR="00F4363A" w:rsidRPr="00312079" w:rsidRDefault="00B324F9" w:rsidP="00B324F9">
            <w:pPr>
              <w:pStyle w:val="aa"/>
              <w:numPr>
                <w:ilvl w:val="0"/>
                <w:numId w:val="7"/>
              </w:numPr>
              <w:tabs>
                <w:tab w:val="left" w:pos="29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>порядок и методы обеспечения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285936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2F04C1"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D31129" w:rsidRPr="00487C3A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D2B6A">
              <w:rPr>
                <w:rFonts w:ascii="Times New Roman" w:hAnsi="Times New Roman"/>
                <w:szCs w:val="24"/>
              </w:rPr>
              <w:t xml:space="preserve">Кодекс Российской Федерации об административных правонарушениях от 30 декабря </w:t>
            </w:r>
            <w:smartTag w:uri="urn:schemas-microsoft-com:office:smarttags" w:element="metricconverter">
              <w:smartTagPr>
                <w:attr w:name="ProductID" w:val="2001 г"/>
              </w:smartTagPr>
              <w:r w:rsidRPr="001D2B6A">
                <w:rPr>
                  <w:rFonts w:ascii="Times New Roman" w:hAnsi="Times New Roman"/>
                  <w:szCs w:val="24"/>
                </w:rPr>
                <w:t>2001 г</w:t>
              </w:r>
            </w:smartTag>
            <w:r w:rsidRPr="001D2B6A">
              <w:rPr>
                <w:rFonts w:ascii="Times New Roman" w:hAnsi="Times New Roman"/>
                <w:szCs w:val="24"/>
              </w:rPr>
              <w:t>. № 195-ФЗ (</w:t>
            </w:r>
            <w:r>
              <w:rPr>
                <w:rFonts w:ascii="Times New Roman" w:hAnsi="Times New Roman"/>
                <w:szCs w:val="24"/>
              </w:rPr>
              <w:t>в части, касающейся установленной сферы деятельности</w:t>
            </w:r>
            <w:r w:rsidRPr="001D2B6A">
              <w:rPr>
                <w:rFonts w:ascii="Times New Roman" w:hAnsi="Times New Roman"/>
                <w:szCs w:val="24"/>
              </w:rPr>
              <w:t>);</w:t>
            </w:r>
          </w:p>
          <w:p w:rsidR="00D31129" w:rsidRPr="00487C3A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D5BE3">
              <w:rPr>
                <w:rFonts w:ascii="Times New Roman" w:hAnsi="Times New Roman"/>
                <w:szCs w:val="24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2D5BE3">
                <w:rPr>
                  <w:rFonts w:ascii="Times New Roman" w:hAnsi="Times New Roman"/>
                  <w:szCs w:val="24"/>
                </w:rPr>
                <w:t>2007 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D31129" w:rsidRPr="002D5BE3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D5BE3">
              <w:rPr>
                <w:rFonts w:ascii="Times New Roman" w:hAnsi="Times New Roman"/>
                <w:szCs w:val="24"/>
              </w:rPr>
              <w:lastRenderedPageBreak/>
              <w:t xml:space="preserve">постановление Правительства Российской Федерации от 2 июня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D5BE3">
                <w:rPr>
                  <w:rFonts w:ascii="Times New Roman" w:hAnsi="Times New Roman"/>
                  <w:szCs w:val="24"/>
                </w:rPr>
                <w:t>2008 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 420 «О Федеральной службе государственной статистики»;</w:t>
            </w:r>
          </w:p>
          <w:p w:rsidR="00D31129" w:rsidRPr="002D5BE3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D5BE3">
              <w:rPr>
                <w:rFonts w:ascii="Times New Roman" w:hAnsi="Times New Roman"/>
                <w:szCs w:val="24"/>
              </w:rPr>
              <w:t xml:space="preserve">постановление Правительства Российской Федерации от 18 августа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D5BE3">
                <w:rPr>
                  <w:rFonts w:ascii="Times New Roman" w:hAnsi="Times New Roman"/>
                  <w:szCs w:val="24"/>
                </w:rPr>
                <w:t>2008 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D31129" w:rsidRPr="002D5BE3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D5BE3">
              <w:rPr>
                <w:rFonts w:ascii="Times New Roman" w:hAnsi="Times New Roman"/>
                <w:szCs w:val="24"/>
              </w:rPr>
              <w:t xml:space="preserve">постановление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D5BE3">
                <w:rPr>
                  <w:rFonts w:ascii="Times New Roman" w:hAnsi="Times New Roman"/>
                  <w:szCs w:val="24"/>
                </w:rPr>
                <w:t>2010 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 367 «О единой межведомственной информационно-статистической системе»;</w:t>
            </w:r>
          </w:p>
          <w:p w:rsidR="00D31129" w:rsidRPr="002D5BE3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D5BE3">
              <w:rPr>
                <w:rFonts w:ascii="Times New Roman" w:hAnsi="Times New Roman"/>
                <w:szCs w:val="24"/>
              </w:rPr>
              <w:t xml:space="preserve">постановление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2D5BE3">
                <w:rPr>
                  <w:rFonts w:ascii="Times New Roman" w:hAnsi="Times New Roman"/>
                  <w:szCs w:val="24"/>
                </w:rPr>
                <w:t>2014 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 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D31129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D5BE3">
              <w:rPr>
                <w:rFonts w:ascii="Times New Roman" w:hAnsi="Times New Roman"/>
                <w:szCs w:val="24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D5BE3">
                <w:rPr>
                  <w:rFonts w:ascii="Times New Roman" w:hAnsi="Times New Roman"/>
                  <w:szCs w:val="24"/>
                </w:rPr>
                <w:t>2008 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 671-р «Об утверждении Федерального плана статистических работ»;</w:t>
            </w:r>
          </w:p>
          <w:p w:rsidR="00D31129" w:rsidRPr="002D5BE3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9916DC">
              <w:rPr>
                <w:rFonts w:ascii="Times New Roman" w:hAnsi="Times New Roman"/>
                <w:szCs w:val="24"/>
              </w:rPr>
              <w:t>Административный регламент исполнения Федеральной службой государственной статистики государственной функции «Предоставление офиц</w:t>
            </w:r>
            <w:r w:rsidRPr="009916DC">
              <w:rPr>
                <w:rFonts w:ascii="Times New Roman" w:hAnsi="Times New Roman"/>
                <w:szCs w:val="24"/>
              </w:rPr>
              <w:t>и</w:t>
            </w:r>
            <w:r w:rsidRPr="009916DC">
              <w:rPr>
                <w:rFonts w:ascii="Times New Roman" w:hAnsi="Times New Roman"/>
                <w:szCs w:val="24"/>
              </w:rPr>
              <w:t>альной статистической информации Президенту Российской Федерации, Фед</w:t>
            </w:r>
            <w:r w:rsidRPr="009916DC">
              <w:rPr>
                <w:rFonts w:ascii="Times New Roman" w:hAnsi="Times New Roman"/>
                <w:szCs w:val="24"/>
              </w:rPr>
              <w:t>е</w:t>
            </w:r>
            <w:r w:rsidRPr="009916DC">
              <w:rPr>
                <w:rFonts w:ascii="Times New Roman" w:hAnsi="Times New Roman"/>
                <w:szCs w:val="24"/>
              </w:rPr>
              <w:t>ральному Собранию Российской Федерации, Правительству Российской Фед</w:t>
            </w:r>
            <w:r w:rsidRPr="009916DC">
              <w:rPr>
                <w:rFonts w:ascii="Times New Roman" w:hAnsi="Times New Roman"/>
                <w:szCs w:val="24"/>
              </w:rPr>
              <w:t>е</w:t>
            </w:r>
            <w:r w:rsidRPr="009916DC">
              <w:rPr>
                <w:rFonts w:ascii="Times New Roman" w:hAnsi="Times New Roman"/>
                <w:szCs w:val="24"/>
              </w:rPr>
              <w:t>рации, иным федеральным органам государственной власти, органам государс</w:t>
            </w:r>
            <w:r w:rsidRPr="009916DC">
              <w:rPr>
                <w:rFonts w:ascii="Times New Roman" w:hAnsi="Times New Roman"/>
                <w:szCs w:val="24"/>
              </w:rPr>
              <w:t>т</w:t>
            </w:r>
            <w:r w:rsidRPr="009916DC">
              <w:rPr>
                <w:rFonts w:ascii="Times New Roman" w:hAnsi="Times New Roman"/>
                <w:szCs w:val="24"/>
              </w:rPr>
              <w:t>венной власти субъектов Российской Федерации, органам местного самоупра</w:t>
            </w:r>
            <w:r w:rsidRPr="009916DC">
              <w:rPr>
                <w:rFonts w:ascii="Times New Roman" w:hAnsi="Times New Roman"/>
                <w:szCs w:val="24"/>
              </w:rPr>
              <w:t>в</w:t>
            </w:r>
            <w:r w:rsidRPr="009916DC">
              <w:rPr>
                <w:rFonts w:ascii="Times New Roman" w:hAnsi="Times New Roman"/>
                <w:szCs w:val="24"/>
              </w:rPr>
              <w:t>ления, судам, органам прокуратуры, Банку России, государственным внебю</w:t>
            </w:r>
            <w:r w:rsidRPr="009916DC">
              <w:rPr>
                <w:rFonts w:ascii="Times New Roman" w:hAnsi="Times New Roman"/>
                <w:szCs w:val="24"/>
              </w:rPr>
              <w:t>д</w:t>
            </w:r>
            <w:r w:rsidRPr="009916DC">
              <w:rPr>
                <w:rFonts w:ascii="Times New Roman" w:hAnsi="Times New Roman"/>
                <w:szCs w:val="24"/>
              </w:rPr>
              <w:t>жетным фондам, профсоюзным объединениям и объединениям работодателей, а также международным организациям»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D5BE3">
              <w:rPr>
                <w:rFonts w:ascii="Times New Roman" w:hAnsi="Times New Roman"/>
                <w:szCs w:val="24"/>
              </w:rPr>
              <w:t xml:space="preserve">(утвержден приказом Росстата от 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2D5BE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марта</w:t>
            </w:r>
            <w:r w:rsidRPr="002D5BE3">
              <w:rPr>
                <w:rFonts w:ascii="Times New Roman" w:hAnsi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D5BE3">
                <w:rPr>
                  <w:rFonts w:ascii="Times New Roman" w:hAnsi="Times New Roman"/>
                  <w:szCs w:val="24"/>
                </w:rPr>
                <w:t>20</w:t>
              </w:r>
              <w:r>
                <w:rPr>
                  <w:rFonts w:ascii="Times New Roman" w:hAnsi="Times New Roman"/>
                  <w:szCs w:val="24"/>
                </w:rPr>
                <w:t>08</w:t>
              </w:r>
              <w:r w:rsidRPr="002D5BE3">
                <w:rPr>
                  <w:rFonts w:ascii="Times New Roman" w:hAnsi="Times New Roman"/>
                  <w:szCs w:val="24"/>
                </w:rPr>
                <w:t xml:space="preserve"> г</w:t>
              </w:r>
            </w:smartTag>
            <w:r w:rsidRPr="002D5BE3">
              <w:rPr>
                <w:rFonts w:ascii="Times New Roman" w:hAnsi="Times New Roman"/>
                <w:szCs w:val="24"/>
              </w:rPr>
              <w:t>. № 6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2D5BE3">
              <w:rPr>
                <w:rFonts w:ascii="Times New Roman" w:hAnsi="Times New Roman"/>
                <w:szCs w:val="24"/>
              </w:rPr>
              <w:t xml:space="preserve">, зарегистрирован Минюстом России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2D5BE3">
              <w:rPr>
                <w:rFonts w:ascii="Times New Roman" w:hAnsi="Times New Roman"/>
                <w:szCs w:val="24"/>
              </w:rPr>
              <w:t xml:space="preserve">2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D5BE3">
                <w:rPr>
                  <w:rFonts w:ascii="Times New Roman" w:hAnsi="Times New Roman"/>
                  <w:szCs w:val="24"/>
                </w:rPr>
                <w:t>20</w:t>
              </w:r>
              <w:r>
                <w:rPr>
                  <w:rFonts w:ascii="Times New Roman" w:hAnsi="Times New Roman"/>
                  <w:szCs w:val="24"/>
                </w:rPr>
                <w:t>08</w:t>
              </w:r>
              <w:r w:rsidRPr="002D5BE3">
                <w:rPr>
                  <w:rFonts w:ascii="Times New Roman" w:hAnsi="Times New Roman"/>
                  <w:szCs w:val="24"/>
                </w:rPr>
                <w:t xml:space="preserve"> г</w:t>
              </w:r>
            </w:smartTag>
            <w:r w:rsidRPr="002D5BE3">
              <w:rPr>
                <w:rFonts w:ascii="Times New Roman" w:hAnsi="Times New Roman"/>
                <w:szCs w:val="24"/>
              </w:rPr>
              <w:t xml:space="preserve">. № </w:t>
            </w:r>
            <w:r>
              <w:rPr>
                <w:rFonts w:ascii="Times New Roman" w:hAnsi="Times New Roman"/>
                <w:szCs w:val="24"/>
              </w:rPr>
              <w:t>11576</w:t>
            </w:r>
            <w:r w:rsidRPr="002D5BE3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75085B" w:rsidRPr="00D3677C" w:rsidRDefault="00D31129" w:rsidP="00D31129">
            <w:pPr>
              <w:numPr>
                <w:ilvl w:val="0"/>
                <w:numId w:val="16"/>
              </w:numPr>
              <w:tabs>
                <w:tab w:val="left" w:pos="28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szCs w:val="22"/>
              </w:rPr>
            </w:pPr>
            <w:r w:rsidRPr="002D5BE3">
              <w:rPr>
                <w:rFonts w:ascii="Times New Roman" w:hAnsi="Times New Roman"/>
                <w:szCs w:val="24"/>
              </w:rPr>
              <w:t xml:space="preserve"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5BE3">
                <w:rPr>
                  <w:rFonts w:ascii="Times New Roman" w:hAnsi="Times New Roman"/>
                  <w:szCs w:val="24"/>
                </w:rPr>
                <w:t>2012 г</w:t>
              </w:r>
            </w:smartTag>
            <w:r w:rsidRPr="002D5BE3">
              <w:rPr>
                <w:rFonts w:ascii="Times New Roman" w:hAnsi="Times New Roman"/>
                <w:szCs w:val="24"/>
              </w:rPr>
              <w:t xml:space="preserve">. № 668, зарегистрирован Минюстом России 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D5BE3">
                <w:rPr>
                  <w:rFonts w:ascii="Times New Roman" w:hAnsi="Times New Roman"/>
                  <w:szCs w:val="24"/>
                </w:rPr>
                <w:t>2013 г</w:t>
              </w:r>
            </w:smartTag>
            <w:r w:rsidRPr="002D5BE3">
              <w:rPr>
                <w:rFonts w:ascii="Times New Roman" w:hAnsi="Times New Roman"/>
                <w:szCs w:val="24"/>
              </w:rPr>
              <w:t>.№ 27965).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285936" w:rsidRDefault="000C5161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2F04C1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виды статистических наблюдений;</w:t>
            </w:r>
          </w:p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порядок формирования статистической информации;</w:t>
            </w:r>
          </w:p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основы общей теории статистики;</w:t>
            </w:r>
          </w:p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основные принципы официального статистического учета;</w:t>
            </w:r>
          </w:p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методология обработки статистической информации;</w:t>
            </w:r>
          </w:p>
          <w:p w:rsidR="002F04C1" w:rsidRPr="002F04C1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1D67D0" w:rsidRPr="00D3677C" w:rsidRDefault="002F04C1" w:rsidP="002F04C1">
            <w:pPr>
              <w:pStyle w:val="aa"/>
              <w:numPr>
                <w:ilvl w:val="0"/>
                <w:numId w:val="17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Cs w:val="22"/>
              </w:rPr>
            </w:pPr>
            <w:r w:rsidRPr="002F04C1">
              <w:rPr>
                <w:rFonts w:ascii="Times New Roman" w:hAnsi="Times New Roman"/>
                <w:szCs w:val="22"/>
                <w:shd w:val="clear" w:color="auto" w:fill="FFFFFF"/>
              </w:rPr>
              <w:t>обеспечение сохранности и конфиденциальности первичных статистических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285936" w:rsidRDefault="006D1CDB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CC5313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D3677C" w:rsidRDefault="001D67D0" w:rsidP="00D3677C">
            <w:pPr>
              <w:tabs>
                <w:tab w:val="left" w:pos="237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285936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B80231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B80231" w:rsidRPr="00B80231" w:rsidRDefault="00B80231" w:rsidP="00B80231">
            <w:pPr>
              <w:pStyle w:val="Doc-0"/>
              <w:tabs>
                <w:tab w:val="left" w:pos="993"/>
              </w:tabs>
              <w:spacing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1) </w:t>
            </w:r>
            <w:r w:rsidRPr="00B80231">
              <w:rPr>
                <w:szCs w:val="22"/>
              </w:rPr>
              <w:t>умение мыслить системно (стратегически);</w:t>
            </w:r>
          </w:p>
          <w:p w:rsidR="00B80231" w:rsidRPr="00B80231" w:rsidRDefault="00B80231" w:rsidP="00B80231">
            <w:pPr>
              <w:pStyle w:val="Doc-0"/>
              <w:tabs>
                <w:tab w:val="left" w:pos="993"/>
              </w:tabs>
              <w:spacing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2) </w:t>
            </w:r>
            <w:r w:rsidRPr="00B80231">
              <w:rPr>
                <w:szCs w:val="22"/>
              </w:rPr>
              <w:t xml:space="preserve">умение планировать, рационально использовать служебное время и достигать </w:t>
            </w:r>
          </w:p>
          <w:p w:rsidR="00B80231" w:rsidRPr="00B80231" w:rsidRDefault="00B80231" w:rsidP="00B80231">
            <w:pPr>
              <w:pStyle w:val="Doc-0"/>
              <w:tabs>
                <w:tab w:val="left" w:pos="993"/>
              </w:tabs>
              <w:spacing w:line="240" w:lineRule="auto"/>
              <w:ind w:left="34" w:firstLine="0"/>
              <w:rPr>
                <w:szCs w:val="22"/>
              </w:rPr>
            </w:pPr>
            <w:r w:rsidRPr="00B80231">
              <w:rPr>
                <w:szCs w:val="22"/>
              </w:rPr>
              <w:t>результата;</w:t>
            </w:r>
          </w:p>
          <w:p w:rsidR="00B80231" w:rsidRPr="00B80231" w:rsidRDefault="00B80231" w:rsidP="00B80231">
            <w:pPr>
              <w:pStyle w:val="Doc-0"/>
              <w:tabs>
                <w:tab w:val="left" w:pos="993"/>
              </w:tabs>
              <w:spacing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3) </w:t>
            </w:r>
            <w:r w:rsidRPr="00B80231">
              <w:rPr>
                <w:szCs w:val="22"/>
              </w:rPr>
              <w:t>коммуникативные умения;</w:t>
            </w:r>
          </w:p>
          <w:p w:rsidR="006D1CDB" w:rsidRPr="00D3677C" w:rsidRDefault="00B80231" w:rsidP="00B80231">
            <w:pPr>
              <w:pStyle w:val="Doc-0"/>
              <w:tabs>
                <w:tab w:val="left" w:pos="993"/>
              </w:tabs>
              <w:spacing w:line="240" w:lineRule="auto"/>
              <w:ind w:left="34" w:firstLine="0"/>
              <w:rPr>
                <w:b/>
                <w:szCs w:val="22"/>
              </w:rPr>
            </w:pPr>
            <w:r>
              <w:rPr>
                <w:szCs w:val="22"/>
              </w:rPr>
              <w:t xml:space="preserve">4) </w:t>
            </w:r>
            <w:r w:rsidRPr="00B80231">
              <w:rPr>
                <w:szCs w:val="22"/>
              </w:rPr>
              <w:t>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285936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312079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312079" w:rsidRPr="00312079" w:rsidRDefault="00312079" w:rsidP="00312079">
            <w:pPr>
              <w:numPr>
                <w:ilvl w:val="0"/>
                <w:numId w:val="21"/>
              </w:numPr>
              <w:tabs>
                <w:tab w:val="left" w:pos="20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312079" w:rsidRPr="00312079" w:rsidRDefault="00312079" w:rsidP="00312079">
            <w:pPr>
              <w:numPr>
                <w:ilvl w:val="0"/>
                <w:numId w:val="21"/>
              </w:numPr>
              <w:tabs>
                <w:tab w:val="left" w:pos="20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>обеспечение сохранности статистической информации;</w:t>
            </w:r>
          </w:p>
          <w:p w:rsidR="00312079" w:rsidRPr="00312079" w:rsidRDefault="00312079" w:rsidP="00312079">
            <w:pPr>
              <w:numPr>
                <w:ilvl w:val="0"/>
                <w:numId w:val="21"/>
              </w:numPr>
              <w:tabs>
                <w:tab w:val="left" w:pos="20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>сбор, обработка, хранение, распространение, предоставлен</w:t>
            </w:r>
            <w:r>
              <w:rPr>
                <w:rFonts w:ascii="Times New Roman" w:hAnsi="Times New Roman"/>
                <w:szCs w:val="22"/>
              </w:rPr>
              <w:t xml:space="preserve">ие официальной </w:t>
            </w:r>
            <w:r w:rsidRPr="00312079">
              <w:rPr>
                <w:rFonts w:ascii="Times New Roman" w:hAnsi="Times New Roman"/>
                <w:szCs w:val="22"/>
              </w:rPr>
              <w:t>статистической информации;</w:t>
            </w:r>
          </w:p>
          <w:p w:rsidR="00674C6B" w:rsidRPr="00D3677C" w:rsidRDefault="00312079" w:rsidP="00312079">
            <w:pPr>
              <w:numPr>
                <w:ilvl w:val="0"/>
                <w:numId w:val="21"/>
              </w:numPr>
              <w:tabs>
                <w:tab w:val="left" w:pos="207"/>
                <w:tab w:val="left" w:pos="1060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12079">
              <w:rPr>
                <w:rFonts w:ascii="Times New Roman" w:hAnsi="Times New Roman"/>
                <w:szCs w:val="22"/>
              </w:rPr>
              <w:t>обеспечение сохранности и конфиденциальности первичных статистических данных.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285936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CA3449"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CA3449" w:rsidRPr="00CA3449" w:rsidRDefault="00CA3449" w:rsidP="00CA3449">
            <w:pPr>
              <w:pStyle w:val="aa"/>
              <w:numPr>
                <w:ilvl w:val="0"/>
                <w:numId w:val="6"/>
              </w:numPr>
              <w:tabs>
                <w:tab w:val="left" w:pos="25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A3449">
              <w:rPr>
                <w:rFonts w:ascii="Times New Roman" w:hAnsi="Times New Roman"/>
                <w:szCs w:val="22"/>
              </w:rPr>
              <w:t>применение статистических пакетов прикладных программ;</w:t>
            </w:r>
          </w:p>
          <w:p w:rsidR="00CA3449" w:rsidRPr="00CA3449" w:rsidRDefault="00CA3449" w:rsidP="00CA3449">
            <w:pPr>
              <w:pStyle w:val="aa"/>
              <w:numPr>
                <w:ilvl w:val="0"/>
                <w:numId w:val="6"/>
              </w:numPr>
              <w:tabs>
                <w:tab w:val="left" w:pos="25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A3449">
              <w:rPr>
                <w:rFonts w:ascii="Times New Roman" w:hAnsi="Times New Roman"/>
                <w:szCs w:val="22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674C6B" w:rsidRPr="00D3677C" w:rsidRDefault="00CA3449" w:rsidP="00CA3449">
            <w:pPr>
              <w:pStyle w:val="aa"/>
              <w:numPr>
                <w:ilvl w:val="0"/>
                <w:numId w:val="6"/>
              </w:numPr>
              <w:tabs>
                <w:tab w:val="left" w:pos="252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A3449">
              <w:rPr>
                <w:rFonts w:ascii="Times New Roman" w:hAnsi="Times New Roman"/>
                <w:szCs w:val="22"/>
              </w:rPr>
              <w:t>работа с различными источниками статистической информации.</w:t>
            </w:r>
          </w:p>
        </w:tc>
      </w:tr>
    </w:tbl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3A4D1E"/>
    <w:multiLevelType w:val="hybridMultilevel"/>
    <w:tmpl w:val="768C43C4"/>
    <w:lvl w:ilvl="0" w:tplc="1C2299DE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0C066C"/>
    <w:multiLevelType w:val="hybridMultilevel"/>
    <w:tmpl w:val="77BCDACC"/>
    <w:lvl w:ilvl="0" w:tplc="3BF24226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0CD0"/>
    <w:multiLevelType w:val="hybridMultilevel"/>
    <w:tmpl w:val="044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E6516A2"/>
    <w:multiLevelType w:val="hybridMultilevel"/>
    <w:tmpl w:val="D7A6B69A"/>
    <w:lvl w:ilvl="0" w:tplc="04190011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8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A92036"/>
    <w:multiLevelType w:val="hybridMultilevel"/>
    <w:tmpl w:val="FCFE278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4623F"/>
    <w:multiLevelType w:val="hybridMultilevel"/>
    <w:tmpl w:val="BC3836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4"/>
  </w:num>
  <w:num w:numId="18">
    <w:abstractNumId w:val="18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02D53"/>
    <w:rsid w:val="000263D2"/>
    <w:rsid w:val="00063FD3"/>
    <w:rsid w:val="00066E74"/>
    <w:rsid w:val="00073B26"/>
    <w:rsid w:val="00096770"/>
    <w:rsid w:val="000A0658"/>
    <w:rsid w:val="000C5161"/>
    <w:rsid w:val="000E1223"/>
    <w:rsid w:val="000E49FC"/>
    <w:rsid w:val="0010453E"/>
    <w:rsid w:val="001333CA"/>
    <w:rsid w:val="0016276D"/>
    <w:rsid w:val="001D5428"/>
    <w:rsid w:val="001D67D0"/>
    <w:rsid w:val="001D7948"/>
    <w:rsid w:val="00231DB7"/>
    <w:rsid w:val="00236225"/>
    <w:rsid w:val="002616FD"/>
    <w:rsid w:val="00263220"/>
    <w:rsid w:val="00285936"/>
    <w:rsid w:val="002F04C1"/>
    <w:rsid w:val="00301E0E"/>
    <w:rsid w:val="003063CE"/>
    <w:rsid w:val="00312079"/>
    <w:rsid w:val="00324483"/>
    <w:rsid w:val="00343C18"/>
    <w:rsid w:val="003477AA"/>
    <w:rsid w:val="003969A9"/>
    <w:rsid w:val="0042598F"/>
    <w:rsid w:val="00483365"/>
    <w:rsid w:val="00494F7D"/>
    <w:rsid w:val="004C13BD"/>
    <w:rsid w:val="004F14C6"/>
    <w:rsid w:val="00543AAB"/>
    <w:rsid w:val="00554DC6"/>
    <w:rsid w:val="00574F20"/>
    <w:rsid w:val="00581C9E"/>
    <w:rsid w:val="00596E3D"/>
    <w:rsid w:val="005C095C"/>
    <w:rsid w:val="005C35AA"/>
    <w:rsid w:val="005C6804"/>
    <w:rsid w:val="005D027B"/>
    <w:rsid w:val="005E13B3"/>
    <w:rsid w:val="00627508"/>
    <w:rsid w:val="00656CF8"/>
    <w:rsid w:val="00661851"/>
    <w:rsid w:val="00674C6B"/>
    <w:rsid w:val="006D1CDB"/>
    <w:rsid w:val="006D520C"/>
    <w:rsid w:val="00704720"/>
    <w:rsid w:val="007375E1"/>
    <w:rsid w:val="007423C6"/>
    <w:rsid w:val="0075085B"/>
    <w:rsid w:val="00770799"/>
    <w:rsid w:val="00774F0B"/>
    <w:rsid w:val="007938EC"/>
    <w:rsid w:val="007A4937"/>
    <w:rsid w:val="00801845"/>
    <w:rsid w:val="00805BA1"/>
    <w:rsid w:val="008204A5"/>
    <w:rsid w:val="00827397"/>
    <w:rsid w:val="00876CAC"/>
    <w:rsid w:val="00886B4E"/>
    <w:rsid w:val="008F3A08"/>
    <w:rsid w:val="008F3E29"/>
    <w:rsid w:val="0094309E"/>
    <w:rsid w:val="009B0019"/>
    <w:rsid w:val="009E715E"/>
    <w:rsid w:val="00A549E7"/>
    <w:rsid w:val="00A71253"/>
    <w:rsid w:val="00AA0C29"/>
    <w:rsid w:val="00AC7244"/>
    <w:rsid w:val="00AE1847"/>
    <w:rsid w:val="00AF7623"/>
    <w:rsid w:val="00B03E54"/>
    <w:rsid w:val="00B07E08"/>
    <w:rsid w:val="00B324F9"/>
    <w:rsid w:val="00B32A6D"/>
    <w:rsid w:val="00B80231"/>
    <w:rsid w:val="00B974AF"/>
    <w:rsid w:val="00BD2FE7"/>
    <w:rsid w:val="00BD3436"/>
    <w:rsid w:val="00BF0505"/>
    <w:rsid w:val="00C32C60"/>
    <w:rsid w:val="00C81B57"/>
    <w:rsid w:val="00C92513"/>
    <w:rsid w:val="00CA3449"/>
    <w:rsid w:val="00CA61F3"/>
    <w:rsid w:val="00CB5E97"/>
    <w:rsid w:val="00CC5313"/>
    <w:rsid w:val="00CC6488"/>
    <w:rsid w:val="00CD7638"/>
    <w:rsid w:val="00D31129"/>
    <w:rsid w:val="00D3677C"/>
    <w:rsid w:val="00DA1F92"/>
    <w:rsid w:val="00DB675F"/>
    <w:rsid w:val="00DB7C48"/>
    <w:rsid w:val="00DF18FC"/>
    <w:rsid w:val="00DF4A3D"/>
    <w:rsid w:val="00E22266"/>
    <w:rsid w:val="00E57A40"/>
    <w:rsid w:val="00E7664C"/>
    <w:rsid w:val="00ED62D9"/>
    <w:rsid w:val="00EE504B"/>
    <w:rsid w:val="00F06491"/>
    <w:rsid w:val="00F32E2E"/>
    <w:rsid w:val="00F355D5"/>
    <w:rsid w:val="00F361EB"/>
    <w:rsid w:val="00F4363A"/>
    <w:rsid w:val="00F71D1B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131</cp:revision>
  <cp:lastPrinted>2024-04-10T08:13:00Z</cp:lastPrinted>
  <dcterms:created xsi:type="dcterms:W3CDTF">2022-03-14T09:21:00Z</dcterms:created>
  <dcterms:modified xsi:type="dcterms:W3CDTF">2024-04-10T08:18:00Z</dcterms:modified>
</cp:coreProperties>
</file>