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>, Типовым положением о подразделении федерального государственного органа по профилактик</w:t>
      </w:r>
      <w:r w:rsidR="00527A26">
        <w:rPr>
          <w:sz w:val="28"/>
          <w:szCs w:val="28"/>
        </w:rPr>
        <w:t xml:space="preserve">е </w:t>
      </w:r>
      <w:r w:rsidR="00527A26">
        <w:rPr>
          <w:sz w:val="28"/>
          <w:szCs w:val="28"/>
        </w:rPr>
        <w:lastRenderedPageBreak/>
        <w:t>коррупционных и иных правонару</w:t>
      </w:r>
      <w:r w:rsidR="00E0677E">
        <w:rPr>
          <w:sz w:val="28"/>
          <w:szCs w:val="28"/>
        </w:rPr>
        <w:t>шений, утвержденным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 xml:space="preserve">включенные в </w:t>
      </w:r>
      <w:hyperlink r:id="rId9" w:history="1"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перед </w:t>
      </w:r>
      <w:r w:rsidR="00AD5234" w:rsidRPr="00AD5234">
        <w:rPr>
          <w:sz w:val="28"/>
          <w:szCs w:val="28"/>
        </w:rPr>
        <w:lastRenderedPageBreak/>
        <w:t>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r w:rsidR="00AD5234" w:rsidRPr="00AD5234">
        <w:rPr>
          <w:sz w:val="28"/>
          <w:szCs w:val="28"/>
        </w:rPr>
        <w:t xml:space="preserve"> 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Российской Федерации, иные федеральные государственные органы обо всех случаях </w:t>
      </w:r>
      <w:r w:rsidR="00517345">
        <w:rPr>
          <w:color w:val="000000"/>
          <w:sz w:val="28"/>
          <w:szCs w:val="28"/>
        </w:rPr>
        <w:lastRenderedPageBreak/>
        <w:t>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</w:t>
      </w:r>
      <w:proofErr w:type="gramEnd"/>
      <w:r>
        <w:rPr>
          <w:color w:val="000000"/>
          <w:sz w:val="28"/>
          <w:szCs w:val="28"/>
        </w:rPr>
        <w:t xml:space="preserve">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ограничений и запретов, требований о предотвращении или урегулировании конфликта интересов, 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 xml:space="preserve">, а также о соблюдении работниками </w:t>
      </w:r>
      <w:r w:rsidR="00EB0281">
        <w:rPr>
          <w:rFonts w:eastAsiaTheme="minorHAnsi"/>
          <w:sz w:val="28"/>
          <w:szCs w:val="28"/>
          <w:lang w:eastAsia="en-US"/>
        </w:rPr>
        <w:lastRenderedPageBreak/>
        <w:t>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</w:t>
      </w:r>
      <w:proofErr w:type="gramStart"/>
      <w:r w:rsidR="005D48D8">
        <w:rPr>
          <w:rFonts w:eastAsiaTheme="minorHAnsi"/>
          <w:sz w:val="28"/>
          <w:szCs w:val="28"/>
          <w:lang w:eastAsia="en-US"/>
        </w:rPr>
        <w:t>в  информационно</w:t>
      </w:r>
      <w:proofErr w:type="gramEnd"/>
      <w:r w:rsidR="005D48D8">
        <w:rPr>
          <w:rFonts w:eastAsiaTheme="minorHAnsi"/>
          <w:sz w:val="28"/>
          <w:szCs w:val="28"/>
          <w:lang w:eastAsia="en-US"/>
        </w:rPr>
        <w:t xml:space="preserve">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службы в территориальном органе Росстата размещались общедоступная информация, а также данные, позволяющие его идентифицировать, представляемых в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соответствии со статьей 20² Федерального закона от 27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</w:t>
      </w:r>
      <w:proofErr w:type="gramStart"/>
      <w:r w:rsidR="003848D6" w:rsidRPr="003A2076">
        <w:rPr>
          <w:rFonts w:cs="Calibri"/>
          <w:sz w:val="28"/>
          <w:szCs w:val="28"/>
        </w:rPr>
        <w:t>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>гражданских</w:t>
      </w:r>
      <w:proofErr w:type="gramEnd"/>
      <w:r w:rsidR="003848D6">
        <w:rPr>
          <w:rFonts w:cs="Calibri"/>
          <w:sz w:val="28"/>
          <w:szCs w:val="28"/>
        </w:rPr>
        <w:t xml:space="preserve">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</w:t>
      </w:r>
      <w:proofErr w:type="gramStart"/>
      <w:r w:rsidR="003848D6">
        <w:rPr>
          <w:sz w:val="28"/>
          <w:szCs w:val="28"/>
        </w:rPr>
        <w:t>оплачиваемую  работу</w:t>
      </w:r>
      <w:proofErr w:type="gramEnd"/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</w:t>
      </w:r>
      <w:r w:rsidR="0079600C">
        <w:rPr>
          <w:sz w:val="28"/>
          <w:szCs w:val="28"/>
        </w:rPr>
        <w:lastRenderedPageBreak/>
        <w:t>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 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 случаях,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</w:t>
      </w:r>
      <w:proofErr w:type="gramStart"/>
      <w:r>
        <w:rPr>
          <w:rFonts w:cs="Calibri"/>
          <w:sz w:val="28"/>
          <w:szCs w:val="28"/>
        </w:rPr>
        <w:t>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</w:t>
      </w:r>
      <w:proofErr w:type="gramEnd"/>
      <w:r>
        <w:rPr>
          <w:rFonts w:cs="Calibri"/>
          <w:sz w:val="28"/>
          <w:szCs w:val="28"/>
        </w:rPr>
        <w:t xml:space="preserve">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>существлять взаимодействие и контроль за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lastRenderedPageBreak/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</w:t>
      </w:r>
      <w:proofErr w:type="gramStart"/>
      <w:r w:rsidR="00724937" w:rsidRPr="00617D12">
        <w:rPr>
          <w:bCs/>
          <w:sz w:val="28"/>
          <w:szCs w:val="28"/>
        </w:rPr>
        <w:t>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</w:t>
      </w:r>
      <w:proofErr w:type="gramEnd"/>
      <w:r w:rsidR="00724937">
        <w:rPr>
          <w:bCs/>
          <w:sz w:val="28"/>
          <w:szCs w:val="28"/>
        </w:rPr>
        <w:t xml:space="preserve">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</w:t>
      </w:r>
      <w:proofErr w:type="gramStart"/>
      <w:r w:rsidR="00B4352F">
        <w:rPr>
          <w:sz w:val="28"/>
          <w:szCs w:val="28"/>
        </w:rPr>
        <w:t>подведомственных организациях Росстата</w:t>
      </w:r>
      <w:proofErr w:type="gramEnd"/>
      <w:r w:rsidR="00B4352F">
        <w:rPr>
          <w:sz w:val="28"/>
          <w:szCs w:val="28"/>
        </w:rPr>
        <w:t xml:space="preserve">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</w:t>
      </w:r>
      <w:proofErr w:type="gramStart"/>
      <w:r w:rsidRPr="0025104E">
        <w:rPr>
          <w:sz w:val="28"/>
          <w:szCs w:val="28"/>
        </w:rPr>
        <w:t>требованиями</w:t>
      </w:r>
      <w:proofErr w:type="gramEnd"/>
      <w:r w:rsidRPr="0025104E">
        <w:rPr>
          <w:sz w:val="28"/>
          <w:szCs w:val="28"/>
        </w:rPr>
        <w:t xml:space="preserve">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>Начальник Отдела отвечает за</w:t>
      </w:r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proofErr w:type="gramStart"/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</w:t>
      </w:r>
      <w:proofErr w:type="gramEnd"/>
      <w:r w:rsidR="00E45A05" w:rsidRPr="00617D12">
        <w:rPr>
          <w:sz w:val="28"/>
          <w:szCs w:val="28"/>
        </w:rPr>
        <w:t xml:space="preserve">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4345A7">
        <w:rPr>
          <w:rFonts w:eastAsiaTheme="minorHAnsi"/>
          <w:sz w:val="28"/>
          <w:szCs w:val="28"/>
          <w:lang w:eastAsia="en-US"/>
        </w:rPr>
        <w:t xml:space="preserve">контроль за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 наложении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>отделами и управлениями</w:t>
      </w:r>
      <w:r w:rsidR="00E45A05" w:rsidRPr="00CD1EE6">
        <w:rPr>
          <w:b/>
          <w:bCs/>
        </w:rPr>
        <w:t xml:space="preserve"> центрального аппарата Росстата</w:t>
      </w:r>
      <w:proofErr w:type="gramStart"/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</w:t>
      </w:r>
      <w:proofErr w:type="gramEnd"/>
      <w:r w:rsidR="00E45A05" w:rsidRPr="00CD1EE6">
        <w:rPr>
          <w:b/>
          <w:bCs/>
        </w:rPr>
        <w:t xml:space="preserve">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</w:t>
      </w:r>
      <w:proofErr w:type="gramStart"/>
      <w:r w:rsidR="003E1687">
        <w:rPr>
          <w:sz w:val="28"/>
          <w:szCs w:val="28"/>
        </w:rPr>
        <w:t xml:space="preserve">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proofErr w:type="gramEnd"/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>иными</w:t>
      </w:r>
      <w:proofErr w:type="gramEnd"/>
      <w:r w:rsidR="004C6762" w:rsidRPr="00FA5823">
        <w:rPr>
          <w:sz w:val="28"/>
          <w:szCs w:val="28"/>
        </w:rPr>
        <w:t xml:space="preserve">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proofErr w:type="gramStart"/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</w:t>
      </w:r>
      <w:proofErr w:type="gramEnd"/>
      <w:r w:rsidR="00E45A05" w:rsidRPr="00617D12">
        <w:rPr>
          <w:sz w:val="28"/>
          <w:szCs w:val="28"/>
        </w:rPr>
        <w:t xml:space="preserve">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</w:t>
      </w:r>
      <w:proofErr w:type="gramStart"/>
      <w:r w:rsidR="00E45A05" w:rsidRPr="00617D12">
        <w:rPr>
          <w:color w:val="000000"/>
          <w:sz w:val="28"/>
          <w:szCs w:val="28"/>
        </w:rPr>
        <w:t>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начальниками</w:t>
      </w:r>
      <w:proofErr w:type="gramEnd"/>
      <w:r w:rsidR="00E45A05">
        <w:rPr>
          <w:color w:val="000000"/>
          <w:sz w:val="28"/>
          <w:szCs w:val="28"/>
        </w:rPr>
        <w:t xml:space="preserve">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proofErr w:type="gramStart"/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proofErr w:type="gramEnd"/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bookmarkStart w:id="0" w:name="_GoBack"/>
      <w:bookmarkEnd w:id="0"/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0"/>
      <w:headerReference w:type="default" r:id="rId11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10" w:rsidRDefault="00734310">
      <w:r>
        <w:separator/>
      </w:r>
    </w:p>
  </w:endnote>
  <w:endnote w:type="continuationSeparator" w:id="0">
    <w:p w:rsidR="00734310" w:rsidRDefault="007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10" w:rsidRDefault="00734310">
      <w:r>
        <w:separator/>
      </w:r>
    </w:p>
  </w:footnote>
  <w:footnote w:type="continuationSeparator" w:id="0">
    <w:p w:rsidR="00734310" w:rsidRDefault="0073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E51654">
          <w:rPr>
            <w:noProof/>
            <w:sz w:val="22"/>
            <w:szCs w:val="22"/>
          </w:rPr>
          <w:t>12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0855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51654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9966B-C727-49BC-874F-6CCF579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9261774B31DDA82EC78FD98E0F33B89E95ACCA99BACBDB43BA1CACDU2s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E8197C1E3BAE0D63EB7FAFE369B608863A8A8B93E79A2DD98C0B758F4A70D3161AEB8F504B347c9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643C-93E4-437D-889A-473E2B5B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Кирсанова Наталья Анатольевна</cp:lastModifiedBy>
  <cp:revision>3</cp:revision>
  <cp:lastPrinted>2018-06-09T09:44:00Z</cp:lastPrinted>
  <dcterms:created xsi:type="dcterms:W3CDTF">2020-06-16T05:27:00Z</dcterms:created>
  <dcterms:modified xsi:type="dcterms:W3CDTF">2020-06-16T05:29:00Z</dcterms:modified>
</cp:coreProperties>
</file>